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B2B86" w14:textId="77777777" w:rsidR="00267EBC" w:rsidRPr="00AC780F" w:rsidRDefault="00267EBC" w:rsidP="00267EBC">
      <w:pPr>
        <w:rPr>
          <w:rFonts w:ascii="Book Antiqua" w:hAnsi="Book Antiqua"/>
        </w:rPr>
      </w:pPr>
    </w:p>
    <w:p w14:paraId="586187C0" w14:textId="77777777" w:rsidR="00267EBC" w:rsidRPr="00AC780F" w:rsidRDefault="00267EBC" w:rsidP="00267EBC">
      <w:pPr>
        <w:rPr>
          <w:rFonts w:ascii="Book Antiqua" w:hAnsi="Book Antiqua"/>
        </w:rPr>
      </w:pPr>
    </w:p>
    <w:p w14:paraId="30A1A2F3" w14:textId="77777777" w:rsidR="00267EBC" w:rsidRPr="00AC780F" w:rsidRDefault="00267EBC" w:rsidP="00267EBC">
      <w:pPr>
        <w:rPr>
          <w:rFonts w:ascii="Book Antiqua" w:hAnsi="Book Antiqua"/>
        </w:rPr>
      </w:pPr>
    </w:p>
    <w:p w14:paraId="43F501B8" w14:textId="77777777" w:rsidR="00267EBC" w:rsidRPr="00AC780F" w:rsidRDefault="00267EBC" w:rsidP="00267EBC">
      <w:pPr>
        <w:rPr>
          <w:rFonts w:ascii="Book Antiqua" w:hAnsi="Book Antiqua"/>
        </w:rPr>
      </w:pPr>
    </w:p>
    <w:p w14:paraId="294FC796" w14:textId="77777777" w:rsidR="00267EBC" w:rsidRPr="00AC780F" w:rsidRDefault="00267EBC" w:rsidP="00267EBC">
      <w:pPr>
        <w:rPr>
          <w:rFonts w:ascii="Book Antiqua" w:hAnsi="Book Antiqua"/>
        </w:rPr>
      </w:pPr>
    </w:p>
    <w:p w14:paraId="74A893DD" w14:textId="77777777" w:rsidR="00267EBC" w:rsidRDefault="00267EBC" w:rsidP="00267EBC">
      <w:pPr>
        <w:jc w:val="center"/>
        <w:rPr>
          <w:rFonts w:ascii="Book Antiqua" w:hAnsi="Book Antiqua" w:cs="Malayalam MN"/>
          <w:b/>
          <w:bCs/>
          <w:sz w:val="32"/>
          <w:szCs w:val="32"/>
        </w:rPr>
      </w:pPr>
    </w:p>
    <w:p w14:paraId="023D8557" w14:textId="77777777" w:rsidR="00267EBC" w:rsidRPr="00AC780F" w:rsidRDefault="00267EBC" w:rsidP="00267EBC">
      <w:pPr>
        <w:jc w:val="center"/>
        <w:rPr>
          <w:rFonts w:ascii="Book Antiqua" w:hAnsi="Book Antiqua" w:cs="Malayalam MN"/>
          <w:b/>
          <w:bCs/>
          <w:sz w:val="32"/>
          <w:szCs w:val="32"/>
        </w:rPr>
      </w:pPr>
      <w:r>
        <w:rPr>
          <w:rFonts w:ascii="Book Antiqua" w:hAnsi="Book Antiqua" w:cs="Malayalam MN"/>
          <w:b/>
          <w:bCs/>
          <w:sz w:val="32"/>
          <w:szCs w:val="32"/>
        </w:rPr>
        <w:t>Laser micromachining for proton fast ignition laser fusion target fabrication</w:t>
      </w:r>
    </w:p>
    <w:p w14:paraId="0D311E6B" w14:textId="77777777" w:rsidR="00267EBC" w:rsidRPr="00AC780F" w:rsidRDefault="00267EBC" w:rsidP="00267EBC">
      <w:pPr>
        <w:jc w:val="center"/>
        <w:rPr>
          <w:rFonts w:ascii="Book Antiqua" w:hAnsi="Book Antiqua" w:cs="Malayalam MN"/>
          <w:b/>
          <w:bCs/>
          <w:sz w:val="32"/>
          <w:szCs w:val="32"/>
        </w:rPr>
      </w:pPr>
    </w:p>
    <w:p w14:paraId="3068B11C" w14:textId="77777777" w:rsidR="00267EBC" w:rsidRPr="00760839" w:rsidRDefault="00267EBC" w:rsidP="00267EBC">
      <w:pPr>
        <w:jc w:val="center"/>
        <w:rPr>
          <w:rFonts w:ascii="Book Antiqua" w:hAnsi="Book Antiqua" w:cs="Malayalam MN"/>
        </w:rPr>
      </w:pPr>
      <w:r w:rsidRPr="00760839">
        <w:rPr>
          <w:rFonts w:ascii="Book Antiqua" w:hAnsi="Book Antiqua" w:cs="Malayalam MN"/>
        </w:rPr>
        <w:t>Nils Schott</w:t>
      </w:r>
      <w:r w:rsidRPr="00760839">
        <w:rPr>
          <w:rFonts w:ascii="Book Antiqua" w:hAnsi="Book Antiqua" w:cs="Malayalam MN"/>
          <w:vertAlign w:val="superscript"/>
        </w:rPr>
        <w:t>1,2*</w:t>
      </w:r>
      <w:r w:rsidRPr="00760839">
        <w:rPr>
          <w:rFonts w:ascii="Book Antiqua" w:hAnsi="Book Antiqua" w:cs="Malayalam MN"/>
        </w:rPr>
        <w:t>, Gabriel Schaumann</w:t>
      </w:r>
      <w:r w:rsidRPr="00760839">
        <w:rPr>
          <w:rFonts w:ascii="Book Antiqua" w:hAnsi="Book Antiqua" w:cs="Malayalam MN"/>
          <w:vertAlign w:val="superscript"/>
        </w:rPr>
        <w:t>1,2</w:t>
      </w:r>
      <w:r w:rsidRPr="00760839">
        <w:rPr>
          <w:rFonts w:ascii="Book Antiqua" w:hAnsi="Book Antiqua" w:cs="Malayalam MN"/>
        </w:rPr>
        <w:t>, Matthias Brönner</w:t>
      </w:r>
      <w:r w:rsidRPr="00760839">
        <w:rPr>
          <w:rFonts w:ascii="Book Antiqua" w:hAnsi="Book Antiqua" w:cs="Malayalam MN"/>
          <w:vertAlign w:val="superscript"/>
        </w:rPr>
        <w:t>1,2</w:t>
      </w:r>
      <w:r w:rsidRPr="00760839">
        <w:rPr>
          <w:rFonts w:ascii="Book Antiqua" w:hAnsi="Book Antiqua" w:cs="Malayalam MN"/>
        </w:rPr>
        <w:t>, Fabian Christ</w:t>
      </w:r>
      <w:r w:rsidRPr="00760839">
        <w:rPr>
          <w:rFonts w:ascii="Book Antiqua" w:hAnsi="Book Antiqua" w:cs="Malayalam MN"/>
          <w:vertAlign w:val="superscript"/>
        </w:rPr>
        <w:t>1,2</w:t>
      </w:r>
      <w:r w:rsidRPr="00760839">
        <w:rPr>
          <w:rFonts w:ascii="Book Antiqua" w:hAnsi="Book Antiqua" w:cs="Malayalam MN"/>
        </w:rPr>
        <w:t xml:space="preserve">, </w:t>
      </w:r>
      <w:r>
        <w:rPr>
          <w:rFonts w:ascii="Book Antiqua" w:hAnsi="Book Antiqua" w:cs="Malayalam MN"/>
        </w:rPr>
        <w:t xml:space="preserve">and </w:t>
      </w:r>
      <w:r w:rsidRPr="00760839">
        <w:rPr>
          <w:rFonts w:ascii="Book Antiqua" w:hAnsi="Book Antiqua" w:cs="Malayalam MN"/>
        </w:rPr>
        <w:t>Markus Roth</w:t>
      </w:r>
      <w:r w:rsidRPr="00760839">
        <w:rPr>
          <w:rFonts w:ascii="Book Antiqua" w:hAnsi="Book Antiqua" w:cs="Malayalam MN"/>
          <w:vertAlign w:val="superscript"/>
        </w:rPr>
        <w:t>1,2</w:t>
      </w:r>
    </w:p>
    <w:p w14:paraId="3B5F5F85" w14:textId="77777777" w:rsidR="00267EBC" w:rsidRPr="00760839" w:rsidRDefault="00267EBC" w:rsidP="00267EBC">
      <w:pPr>
        <w:rPr>
          <w:rFonts w:ascii="Book Antiqua" w:hAnsi="Book Antiqua" w:cs="Malayalam MN"/>
          <w:b/>
          <w:bCs/>
        </w:rPr>
      </w:pPr>
    </w:p>
    <w:p w14:paraId="54E05289" w14:textId="77777777" w:rsidR="00267EBC" w:rsidRPr="00E13C26" w:rsidRDefault="00267EBC" w:rsidP="00267EBC">
      <w:pPr>
        <w:jc w:val="center"/>
        <w:rPr>
          <w:rFonts w:ascii="Book Antiqua" w:hAnsi="Book Antiqua" w:cs="Malayalam MN"/>
          <w:sz w:val="20"/>
          <w:szCs w:val="20"/>
        </w:rPr>
      </w:pPr>
      <w:r w:rsidRPr="00E13C26">
        <w:rPr>
          <w:rFonts w:ascii="Book Antiqua" w:hAnsi="Book Antiqua" w:cs="Malayalam MN"/>
          <w:sz w:val="20"/>
          <w:szCs w:val="20"/>
          <w:vertAlign w:val="superscript"/>
        </w:rPr>
        <w:t>1</w:t>
      </w:r>
      <w:r w:rsidRPr="00E13C26">
        <w:rPr>
          <w:rFonts w:ascii="Book Antiqua" w:hAnsi="Book Antiqua" w:cs="Malayalam MN"/>
          <w:sz w:val="20"/>
          <w:szCs w:val="20"/>
        </w:rPr>
        <w:t xml:space="preserve">Institute of Nuclear Physics, TU Darmstadt, </w:t>
      </w:r>
      <w:proofErr w:type="spellStart"/>
      <w:r w:rsidRPr="00E13C26">
        <w:rPr>
          <w:rFonts w:ascii="Book Antiqua" w:hAnsi="Book Antiqua" w:cs="Malayalam MN"/>
          <w:sz w:val="20"/>
          <w:szCs w:val="20"/>
        </w:rPr>
        <w:t>Schlossgartenstraße</w:t>
      </w:r>
      <w:proofErr w:type="spellEnd"/>
      <w:r w:rsidRPr="00E13C26">
        <w:rPr>
          <w:rFonts w:ascii="Book Antiqua" w:hAnsi="Book Antiqua" w:cs="Malayalam MN"/>
          <w:sz w:val="20"/>
          <w:szCs w:val="20"/>
        </w:rPr>
        <w:t xml:space="preserve"> 9, 64289, Darmstadt, Germany</w:t>
      </w:r>
    </w:p>
    <w:p w14:paraId="3CCB326D" w14:textId="77777777" w:rsidR="00267EBC" w:rsidRPr="00313FB7" w:rsidRDefault="00267EBC" w:rsidP="00267EBC">
      <w:pPr>
        <w:jc w:val="center"/>
        <w:rPr>
          <w:rFonts w:ascii="Book Antiqua" w:hAnsi="Book Antiqua" w:cs="Malayalam MN"/>
          <w:sz w:val="20"/>
          <w:szCs w:val="20"/>
        </w:rPr>
      </w:pPr>
      <w:r w:rsidRPr="00313FB7">
        <w:rPr>
          <w:rFonts w:ascii="Book Antiqua" w:hAnsi="Book Antiqua" w:cs="Malayalam MN"/>
          <w:sz w:val="20"/>
          <w:szCs w:val="20"/>
          <w:vertAlign w:val="superscript"/>
        </w:rPr>
        <w:t>2</w:t>
      </w:r>
      <w:r w:rsidRPr="00313FB7">
        <w:rPr>
          <w:rFonts w:ascii="Book Antiqua" w:hAnsi="Book Antiqua" w:cs="Malayalam MN"/>
          <w:sz w:val="20"/>
          <w:szCs w:val="20"/>
        </w:rPr>
        <w:t xml:space="preserve"> Focused Energy GmbH, </w:t>
      </w:r>
      <w:proofErr w:type="spellStart"/>
      <w:r w:rsidRPr="00313FB7">
        <w:rPr>
          <w:rFonts w:ascii="Book Antiqua" w:hAnsi="Book Antiqua" w:cs="Malayalam MN"/>
          <w:sz w:val="20"/>
          <w:szCs w:val="20"/>
        </w:rPr>
        <w:t>Im</w:t>
      </w:r>
      <w:proofErr w:type="spellEnd"/>
      <w:r w:rsidRPr="00313FB7">
        <w:rPr>
          <w:rFonts w:ascii="Book Antiqua" w:hAnsi="Book Antiqua" w:cs="Malayalam MN"/>
          <w:sz w:val="20"/>
          <w:szCs w:val="20"/>
        </w:rPr>
        <w:t xml:space="preserve"> </w:t>
      </w:r>
      <w:proofErr w:type="spellStart"/>
      <w:r w:rsidRPr="00313FB7">
        <w:rPr>
          <w:rFonts w:ascii="Book Antiqua" w:hAnsi="Book Antiqua" w:cs="Malayalam MN"/>
          <w:sz w:val="20"/>
          <w:szCs w:val="20"/>
        </w:rPr>
        <w:t>Tiefen</w:t>
      </w:r>
      <w:proofErr w:type="spellEnd"/>
      <w:r w:rsidRPr="00313FB7">
        <w:rPr>
          <w:rFonts w:ascii="Book Antiqua" w:hAnsi="Book Antiqua" w:cs="Malayalam MN"/>
          <w:sz w:val="20"/>
          <w:szCs w:val="20"/>
        </w:rPr>
        <w:t xml:space="preserve"> See 45, 64293, Darmstadt, Germany</w:t>
      </w:r>
    </w:p>
    <w:p w14:paraId="5A5A6593" w14:textId="77777777" w:rsidR="00267EBC" w:rsidRPr="00AC780F" w:rsidRDefault="00267EBC" w:rsidP="00267EBC">
      <w:pPr>
        <w:jc w:val="center"/>
        <w:rPr>
          <w:rFonts w:ascii="Book Antiqua" w:hAnsi="Book Antiqua" w:cs="Malayalam MN"/>
          <w:sz w:val="20"/>
          <w:szCs w:val="20"/>
        </w:rPr>
      </w:pPr>
      <w:r w:rsidRPr="00AC780F">
        <w:rPr>
          <w:rFonts w:ascii="Book Antiqua" w:hAnsi="Book Antiqua" w:cs="Malayalam MN"/>
          <w:sz w:val="20"/>
          <w:szCs w:val="20"/>
          <w:vertAlign w:val="superscript"/>
        </w:rPr>
        <w:t>*</w:t>
      </w:r>
      <w:r>
        <w:rPr>
          <w:rFonts w:ascii="Book Antiqua" w:hAnsi="Book Antiqua" w:cs="Malayalam MN"/>
          <w:sz w:val="20"/>
          <w:szCs w:val="20"/>
        </w:rPr>
        <w:t>Corresponding author email</w:t>
      </w:r>
      <w:r w:rsidRPr="00AC780F">
        <w:rPr>
          <w:rFonts w:ascii="Book Antiqua" w:hAnsi="Book Antiqua" w:cs="Malayalam MN"/>
          <w:sz w:val="20"/>
          <w:szCs w:val="20"/>
        </w:rPr>
        <w:t xml:space="preserve">: </w:t>
      </w:r>
      <w:hyperlink r:id="rId5" w:history="1">
        <w:r w:rsidRPr="000254B5">
          <w:rPr>
            <w:rStyle w:val="Hyperlink"/>
            <w:rFonts w:ascii="Book Antiqua" w:hAnsi="Book Antiqua" w:cs="Malayalam MN"/>
            <w:sz w:val="20"/>
            <w:szCs w:val="20"/>
          </w:rPr>
          <w:t>nschott@ikp.tu-darmstadt.de</w:t>
        </w:r>
      </w:hyperlink>
    </w:p>
    <w:p w14:paraId="58F79A68" w14:textId="77777777" w:rsidR="00267EBC" w:rsidRDefault="00267EBC" w:rsidP="00267EBC">
      <w:pPr>
        <w:rPr>
          <w:rFonts w:ascii="Book Antiqua" w:hAnsi="Book Antiqua" w:cs="Malayalam MN"/>
          <w:sz w:val="22"/>
          <w:szCs w:val="22"/>
        </w:rPr>
      </w:pPr>
    </w:p>
    <w:p w14:paraId="2DEB781A" w14:textId="77777777" w:rsidR="00267EBC" w:rsidRDefault="00267EBC" w:rsidP="00267EBC">
      <w:pPr>
        <w:jc w:val="both"/>
        <w:rPr>
          <w:rFonts w:ascii="Book Antiqua" w:hAnsi="Book Antiqua" w:cs="Malayalam MN"/>
          <w:sz w:val="22"/>
          <w:szCs w:val="22"/>
        </w:rPr>
      </w:pPr>
      <w:r>
        <w:rPr>
          <w:rFonts w:ascii="Book Antiqua" w:hAnsi="Book Antiqua" w:cs="Malayalam MN"/>
          <w:sz w:val="22"/>
          <w:szCs w:val="22"/>
        </w:rPr>
        <w:t xml:space="preserve">Laser micromachining with ultrashort laser pulses is an important technique for target production in the realm of laser fusion research. </w:t>
      </w:r>
      <w:r w:rsidRPr="00692350">
        <w:rPr>
          <w:rFonts w:ascii="Book Antiqua" w:hAnsi="Book Antiqua" w:cs="Malayalam MN"/>
          <w:sz w:val="22"/>
          <w:szCs w:val="22"/>
        </w:rPr>
        <w:t>One specific approach of laser fusion is proton fast ignition, which aims to ignite a pre-compressed fuel using a pulse of protons [</w:t>
      </w:r>
      <w:r>
        <w:rPr>
          <w:rFonts w:ascii="Book Antiqua" w:hAnsi="Book Antiqua" w:cs="Malayalam MN"/>
          <w:sz w:val="22"/>
          <w:szCs w:val="22"/>
        </w:rPr>
        <w:t>1</w:t>
      </w:r>
      <w:r w:rsidRPr="00692350">
        <w:rPr>
          <w:rFonts w:ascii="Book Antiqua" w:hAnsi="Book Antiqua" w:cs="Malayalam MN"/>
          <w:sz w:val="22"/>
          <w:szCs w:val="22"/>
        </w:rPr>
        <w:t>].</w:t>
      </w:r>
      <w:r>
        <w:rPr>
          <w:rFonts w:ascii="Book Antiqua" w:hAnsi="Book Antiqua" w:cs="Malayalam MN"/>
          <w:sz w:val="22"/>
          <w:szCs w:val="22"/>
        </w:rPr>
        <w:t xml:space="preserve"> </w:t>
      </w:r>
      <w:r w:rsidRPr="00B61D26">
        <w:rPr>
          <w:rFonts w:ascii="Book Antiqua" w:hAnsi="Book Antiqua" w:cs="Malayalam MN"/>
          <w:sz w:val="22"/>
          <w:szCs w:val="22"/>
        </w:rPr>
        <w:t xml:space="preserve">For this fusion scheme, </w:t>
      </w:r>
      <w:r>
        <w:rPr>
          <w:rFonts w:ascii="Book Antiqua" w:hAnsi="Book Antiqua" w:cs="Malayalam MN"/>
          <w:sz w:val="22"/>
          <w:szCs w:val="22"/>
        </w:rPr>
        <w:t>common target designs use a</w:t>
      </w:r>
      <w:r w:rsidRPr="00B61D26">
        <w:rPr>
          <w:rFonts w:ascii="Book Antiqua" w:hAnsi="Book Antiqua" w:cs="Malayalam MN"/>
          <w:sz w:val="22"/>
          <w:szCs w:val="22"/>
        </w:rPr>
        <w:t xml:space="preserve"> polymer</w:t>
      </w:r>
      <w:r>
        <w:rPr>
          <w:rFonts w:ascii="Book Antiqua" w:hAnsi="Book Antiqua" w:cs="Malayalam MN"/>
          <w:sz w:val="22"/>
          <w:szCs w:val="22"/>
        </w:rPr>
        <w:t xml:space="preserve"> </w:t>
      </w:r>
      <w:r w:rsidRPr="00B61D26">
        <w:rPr>
          <w:rFonts w:ascii="Book Antiqua" w:hAnsi="Book Antiqua" w:cs="Malayalam MN"/>
          <w:sz w:val="22"/>
          <w:szCs w:val="22"/>
        </w:rPr>
        <w:t>ablator shell, containing the fusion fuel, and a metallic cone, which is mounted inside the shell pointing towards its center [</w:t>
      </w:r>
      <w:r>
        <w:rPr>
          <w:rFonts w:ascii="Book Antiqua" w:hAnsi="Book Antiqua" w:cs="Malayalam MN"/>
          <w:sz w:val="22"/>
          <w:szCs w:val="22"/>
        </w:rPr>
        <w:t>2</w:t>
      </w:r>
      <w:r w:rsidRPr="00B61D26">
        <w:rPr>
          <w:rFonts w:ascii="Book Antiqua" w:hAnsi="Book Antiqua" w:cs="Malayalam MN"/>
          <w:sz w:val="22"/>
          <w:szCs w:val="22"/>
        </w:rPr>
        <w:t xml:space="preserve">]. Since the shell and the cone are made of different materials, one approach to fabricate such a target is to produce both components separately and join them in a second step. In this process, </w:t>
      </w:r>
      <w:r>
        <w:rPr>
          <w:rFonts w:ascii="Book Antiqua" w:hAnsi="Book Antiqua" w:cs="Malayalam MN"/>
          <w:sz w:val="22"/>
          <w:szCs w:val="22"/>
        </w:rPr>
        <w:t>ultrashort pulse</w:t>
      </w:r>
      <w:r w:rsidRPr="00B61D26">
        <w:rPr>
          <w:rFonts w:ascii="Book Antiqua" w:hAnsi="Book Antiqua" w:cs="Malayalam MN"/>
          <w:sz w:val="22"/>
          <w:szCs w:val="22"/>
        </w:rPr>
        <w:t xml:space="preserve"> laser micromachining can be used to create a hole in the polymer shell for mounting the cone</w:t>
      </w:r>
      <w:r>
        <w:rPr>
          <w:rFonts w:ascii="Book Antiqua" w:hAnsi="Book Antiqua" w:cs="Malayalam MN"/>
          <w:sz w:val="22"/>
          <w:szCs w:val="22"/>
        </w:rPr>
        <w:t>. The application of laser fusion poses strict requirements to the machining quality. Material redeposition on the outside or inside of the shell, as well as material change in the bulk of the shell, must be prevented as they could impair the compression behavior of the capsule [3].</w:t>
      </w:r>
    </w:p>
    <w:p w14:paraId="3D6B3BA3" w14:textId="77777777" w:rsidR="00267EBC" w:rsidRDefault="00267EBC" w:rsidP="00267EBC">
      <w:pPr>
        <w:jc w:val="both"/>
        <w:rPr>
          <w:rFonts w:ascii="Book Antiqua" w:hAnsi="Book Antiqua" w:cs="Malayalam MN"/>
          <w:sz w:val="22"/>
          <w:szCs w:val="22"/>
        </w:rPr>
      </w:pPr>
      <w:r>
        <w:rPr>
          <w:rFonts w:ascii="Book Antiqua" w:hAnsi="Book Antiqua" w:cs="Malayalam MN"/>
          <w:sz w:val="22"/>
          <w:szCs w:val="22"/>
        </w:rPr>
        <w:t>To meet these requirements, we analyze the energy deposition of ultrashort laser pulses in polyvinyl chloride by using two-color pump-probe shadowgraphy. Based on the obtained shadowgraphs and established theory, we identify the dominant ionization and thermalization processes for two different laser pulse intensities. Furthermore, we examine the ablation crater after the interaction with microscope images and show that bulk material change can be mitigated by using large enough intensities to cause significant self-attenuation of the pulse in the sample.</w:t>
      </w:r>
    </w:p>
    <w:p w14:paraId="55DBACE9" w14:textId="77777777" w:rsidR="00267EBC" w:rsidRPr="00333AF2" w:rsidRDefault="00267EBC" w:rsidP="00267EBC">
      <w:pPr>
        <w:jc w:val="both"/>
        <w:rPr>
          <w:rFonts w:ascii="Book Antiqua" w:hAnsi="Book Antiqua" w:cs="Malayalam MN"/>
          <w:b/>
          <w:bCs/>
          <w:sz w:val="22"/>
          <w:szCs w:val="22"/>
        </w:rPr>
      </w:pPr>
      <w:r>
        <w:rPr>
          <w:rFonts w:ascii="Book Antiqua" w:hAnsi="Book Antiqua" w:cs="Malayalam MN"/>
          <w:sz w:val="22"/>
          <w:szCs w:val="22"/>
        </w:rPr>
        <w:t xml:space="preserve">In addition, we analyze material redeposition above and below a </w:t>
      </w:r>
      <w:proofErr w:type="spellStart"/>
      <w:r>
        <w:rPr>
          <w:rFonts w:ascii="Book Antiqua" w:hAnsi="Book Antiqua" w:cs="Malayalam MN"/>
          <w:sz w:val="22"/>
          <w:szCs w:val="22"/>
        </w:rPr>
        <w:t>t</w:t>
      </w:r>
      <w:r w:rsidRPr="00333AF2">
        <w:rPr>
          <w:rFonts w:ascii="Book Antiqua" w:hAnsi="Book Antiqua" w:cs="Malayalam MN"/>
          <w:sz w:val="22"/>
          <w:szCs w:val="22"/>
        </w:rPr>
        <w:t>rimethylolpropantriacrylat</w:t>
      </w:r>
      <w:proofErr w:type="spellEnd"/>
      <w:r>
        <w:rPr>
          <w:rFonts w:ascii="Book Antiqua" w:hAnsi="Book Antiqua" w:cs="Malayalam MN"/>
          <w:b/>
          <w:bCs/>
          <w:sz w:val="22"/>
          <w:szCs w:val="22"/>
        </w:rPr>
        <w:t xml:space="preserve"> </w:t>
      </w:r>
      <w:r>
        <w:rPr>
          <w:rFonts w:ascii="Book Antiqua" w:hAnsi="Book Antiqua" w:cs="Malayalam MN"/>
          <w:sz w:val="22"/>
          <w:szCs w:val="22"/>
        </w:rPr>
        <w:t>(TMPTA) foil. We conduct studies to reduce material redeposition below the sample by machining on top of a water reservoir. Furthermore, we analyze the potential of burst pulses with MHz and GHz frequencies to reintegrate redeposited particles on the sample surface.</w:t>
      </w:r>
    </w:p>
    <w:p w14:paraId="67855889" w14:textId="77777777" w:rsidR="00267EBC" w:rsidRPr="00AC780F" w:rsidRDefault="00267EBC" w:rsidP="00267EBC">
      <w:pPr>
        <w:rPr>
          <w:rFonts w:ascii="Book Antiqua" w:hAnsi="Book Antiqua" w:cs="Malayalam MN"/>
        </w:rPr>
      </w:pPr>
    </w:p>
    <w:p w14:paraId="01A25D36" w14:textId="77777777" w:rsidR="00267EBC" w:rsidRPr="00AC780F" w:rsidRDefault="00267EBC" w:rsidP="00267EBC">
      <w:pPr>
        <w:rPr>
          <w:rFonts w:ascii="Book Antiqua" w:hAnsi="Book Antiqua" w:cs="Malayalam MN"/>
          <w:sz w:val="21"/>
          <w:szCs w:val="21"/>
        </w:rPr>
      </w:pPr>
      <w:r w:rsidRPr="00AC780F">
        <w:rPr>
          <w:rFonts w:ascii="Book Antiqua" w:hAnsi="Book Antiqua" w:cs="Malayalam MN"/>
          <w:b/>
          <w:bCs/>
          <w:sz w:val="21"/>
          <w:szCs w:val="21"/>
        </w:rPr>
        <w:t>Acknowledgements</w:t>
      </w:r>
      <w:r w:rsidRPr="00AC780F">
        <w:rPr>
          <w:rFonts w:ascii="Book Antiqua" w:hAnsi="Book Antiqua" w:cs="Malayalam MN"/>
          <w:sz w:val="21"/>
          <w:szCs w:val="21"/>
        </w:rPr>
        <w:t xml:space="preserve">: </w:t>
      </w:r>
      <w:r>
        <w:rPr>
          <w:rFonts w:ascii="Book Antiqua" w:hAnsi="Book Antiqua" w:cs="Malayalam MN"/>
          <w:sz w:val="21"/>
          <w:szCs w:val="21"/>
        </w:rPr>
        <w:t>We thank Focused Energy GmbH and the EU project IMPULSE (871161) for funding this work.</w:t>
      </w:r>
    </w:p>
    <w:p w14:paraId="4CDE8123" w14:textId="77777777" w:rsidR="00267EBC" w:rsidRPr="00AC780F" w:rsidRDefault="00267EBC" w:rsidP="00267EBC">
      <w:pPr>
        <w:rPr>
          <w:rFonts w:ascii="Book Antiqua" w:hAnsi="Book Antiqua" w:cs="Malayalam MN"/>
          <w:sz w:val="22"/>
          <w:szCs w:val="22"/>
        </w:rPr>
      </w:pPr>
    </w:p>
    <w:p w14:paraId="5ADA6295" w14:textId="19C14F36" w:rsidR="0050608C" w:rsidRPr="00267EBC" w:rsidRDefault="00267EBC" w:rsidP="00267EBC">
      <w:r w:rsidRPr="00AC780F">
        <w:rPr>
          <w:rFonts w:ascii="Book Antiqua" w:hAnsi="Book Antiqua" w:cs="Malayalam MN"/>
          <w:b/>
          <w:bCs/>
          <w:sz w:val="21"/>
          <w:szCs w:val="21"/>
        </w:rPr>
        <w:t>References</w:t>
      </w:r>
      <w:r w:rsidRPr="00AC780F">
        <w:rPr>
          <w:rFonts w:ascii="Book Antiqua" w:hAnsi="Book Antiqua" w:cs="Malayalam MN"/>
          <w:sz w:val="21"/>
          <w:szCs w:val="21"/>
        </w:rPr>
        <w:t xml:space="preserve">: [1] </w:t>
      </w:r>
      <w:r w:rsidRPr="0049202E">
        <w:rPr>
          <w:rFonts w:ascii="Book Antiqua" w:hAnsi="Book Antiqua" w:cs="Malayalam MN"/>
          <w:sz w:val="21"/>
          <w:szCs w:val="21"/>
        </w:rPr>
        <w:t xml:space="preserve">Roth, M., Cowan, T.E., Key, M.H., Hatchett, S.P., Brown, C., </w:t>
      </w:r>
      <w:r>
        <w:rPr>
          <w:rFonts w:ascii="Book Antiqua" w:hAnsi="Book Antiqua" w:cs="Malayalam MN"/>
          <w:sz w:val="21"/>
          <w:szCs w:val="21"/>
        </w:rPr>
        <w:t>et al.</w:t>
      </w:r>
      <w:r w:rsidRPr="0049202E">
        <w:rPr>
          <w:rFonts w:ascii="Book Antiqua" w:hAnsi="Book Antiqua" w:cs="Malayalam MN"/>
          <w:sz w:val="21"/>
          <w:szCs w:val="21"/>
        </w:rPr>
        <w:t xml:space="preserve">: Fast Ignition by Intense Laser-Accelerated Proton Beams. Physical Review Letters 86(3), 436–439 (2001) </w:t>
      </w:r>
      <w:hyperlink r:id="rId6" w:history="1">
        <w:r w:rsidRPr="00C57EC4">
          <w:rPr>
            <w:rStyle w:val="Hyperlink"/>
            <w:rFonts w:ascii="Book Antiqua" w:hAnsi="Book Antiqua" w:cs="Malayalam MN"/>
            <w:sz w:val="21"/>
            <w:szCs w:val="21"/>
          </w:rPr>
          <w:t>https://doi.org/10.1103/PhysRevLett.86.436</w:t>
        </w:r>
      </w:hyperlink>
      <w:r>
        <w:rPr>
          <w:rFonts w:ascii="Book Antiqua" w:hAnsi="Book Antiqua" w:cs="Malayalam MN"/>
          <w:sz w:val="21"/>
          <w:szCs w:val="21"/>
        </w:rPr>
        <w:t xml:space="preserve">; </w:t>
      </w:r>
      <w:r>
        <w:rPr>
          <w:rFonts w:ascii="Book Antiqua" w:hAnsi="Book Antiqua" w:cs="Malayalam MN"/>
          <w:sz w:val="21"/>
          <w:szCs w:val="21"/>
        </w:rPr>
        <w:br/>
        <w:t xml:space="preserve">[2] </w:t>
      </w:r>
      <w:r w:rsidRPr="00BE3264">
        <w:rPr>
          <w:rFonts w:ascii="Book Antiqua" w:hAnsi="Book Antiqua" w:cs="Malayalam MN"/>
          <w:sz w:val="21"/>
          <w:szCs w:val="21"/>
        </w:rPr>
        <w:t xml:space="preserve">Fernández, J.C., Albright, B.J., Beg, F.N., Foord, M.E., </w:t>
      </w:r>
      <w:proofErr w:type="spellStart"/>
      <w:r w:rsidRPr="00BE3264">
        <w:rPr>
          <w:rFonts w:ascii="Book Antiqua" w:hAnsi="Book Antiqua" w:cs="Malayalam MN"/>
          <w:sz w:val="21"/>
          <w:szCs w:val="21"/>
        </w:rPr>
        <w:t>Hegelich</w:t>
      </w:r>
      <w:proofErr w:type="spellEnd"/>
      <w:r w:rsidRPr="00BE3264">
        <w:rPr>
          <w:rFonts w:ascii="Book Antiqua" w:hAnsi="Book Antiqua" w:cs="Malayalam MN"/>
          <w:sz w:val="21"/>
          <w:szCs w:val="21"/>
        </w:rPr>
        <w:t xml:space="preserve">, B.M., </w:t>
      </w:r>
      <w:r>
        <w:rPr>
          <w:rFonts w:ascii="Book Antiqua" w:hAnsi="Book Antiqua" w:cs="Malayalam MN"/>
          <w:sz w:val="21"/>
          <w:szCs w:val="21"/>
        </w:rPr>
        <w:t>et al.</w:t>
      </w:r>
      <w:r w:rsidRPr="00BE3264">
        <w:rPr>
          <w:rFonts w:ascii="Book Antiqua" w:hAnsi="Book Antiqua" w:cs="Malayalam MN"/>
          <w:sz w:val="21"/>
          <w:szCs w:val="21"/>
        </w:rPr>
        <w:t xml:space="preserve">: Fast ignition with laser-driven proton and ion beams. Nuclear Fusion 54(5), 054006 (2014) </w:t>
      </w:r>
      <w:hyperlink r:id="rId7" w:history="1">
        <w:r w:rsidRPr="00615B23">
          <w:rPr>
            <w:rStyle w:val="Hyperlink"/>
            <w:rFonts w:ascii="Book Antiqua" w:hAnsi="Book Antiqua" w:cs="Malayalam MN"/>
            <w:sz w:val="21"/>
            <w:szCs w:val="21"/>
          </w:rPr>
          <w:t>https://doi.org/10.1088/0029-5515/ 54/5/054006</w:t>
        </w:r>
      </w:hyperlink>
      <w:r>
        <w:rPr>
          <w:rFonts w:ascii="Book Antiqua" w:hAnsi="Book Antiqua" w:cs="Malayalam MN"/>
          <w:sz w:val="21"/>
          <w:szCs w:val="21"/>
        </w:rPr>
        <w:t xml:space="preserve">; </w:t>
      </w:r>
      <w:r>
        <w:rPr>
          <w:rFonts w:ascii="Book Antiqua" w:hAnsi="Book Antiqua" w:cs="Malayalam MN"/>
          <w:sz w:val="21"/>
          <w:szCs w:val="21"/>
        </w:rPr>
        <w:br/>
        <w:t xml:space="preserve">[3] </w:t>
      </w:r>
      <w:r w:rsidRPr="000B3FE3">
        <w:rPr>
          <w:rFonts w:ascii="Book Antiqua" w:hAnsi="Book Antiqua" w:cs="Malayalam MN"/>
          <w:sz w:val="21"/>
          <w:szCs w:val="21"/>
        </w:rPr>
        <w:t xml:space="preserve">Craxton, R.S., Anderson, K.S., </w:t>
      </w:r>
      <w:proofErr w:type="spellStart"/>
      <w:r w:rsidRPr="000B3FE3">
        <w:rPr>
          <w:rFonts w:ascii="Book Antiqua" w:hAnsi="Book Antiqua" w:cs="Malayalam MN"/>
          <w:sz w:val="21"/>
          <w:szCs w:val="21"/>
        </w:rPr>
        <w:t>Boehly</w:t>
      </w:r>
      <w:proofErr w:type="spellEnd"/>
      <w:r w:rsidRPr="000B3FE3">
        <w:rPr>
          <w:rFonts w:ascii="Book Antiqua" w:hAnsi="Book Antiqua" w:cs="Malayalam MN"/>
          <w:sz w:val="21"/>
          <w:szCs w:val="21"/>
        </w:rPr>
        <w:t xml:space="preserve">, T.R., Goncharov, V.N., Harding, D.R., </w:t>
      </w:r>
      <w:r>
        <w:rPr>
          <w:rFonts w:ascii="Book Antiqua" w:hAnsi="Book Antiqua" w:cs="Malayalam MN"/>
          <w:sz w:val="21"/>
          <w:szCs w:val="21"/>
        </w:rPr>
        <w:t>et al.</w:t>
      </w:r>
      <w:r w:rsidRPr="000B3FE3">
        <w:rPr>
          <w:rFonts w:ascii="Book Antiqua" w:hAnsi="Book Antiqua" w:cs="Malayalam MN"/>
          <w:sz w:val="21"/>
          <w:szCs w:val="21"/>
        </w:rPr>
        <w:t xml:space="preserve">: Direct-drive inertial confinement fusion: A review. Physics of Plasmas 22(11), 110501 (2015) </w:t>
      </w:r>
      <w:hyperlink r:id="rId8" w:history="1">
        <w:r w:rsidRPr="000B3FE3">
          <w:rPr>
            <w:rStyle w:val="Hyperlink"/>
            <w:rFonts w:ascii="Book Antiqua" w:hAnsi="Book Antiqua" w:cs="Malayalam MN"/>
            <w:sz w:val="21"/>
            <w:szCs w:val="21"/>
          </w:rPr>
          <w:t>https://doi.org/10.1063/1.4934714</w:t>
        </w:r>
      </w:hyperlink>
    </w:p>
    <w:sectPr w:rsidR="0050608C" w:rsidRPr="00267EBC" w:rsidSect="00267EBC">
      <w:pgSz w:w="11900" w:h="16840"/>
      <w:pgMar w:top="851"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ayalam MN">
    <w:altName w:val="Kartika"/>
    <w:charset w:val="00"/>
    <w:family w:val="auto"/>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6DA"/>
    <w:rsid w:val="000609C1"/>
    <w:rsid w:val="00075A7C"/>
    <w:rsid w:val="000B127E"/>
    <w:rsid w:val="000D0A9C"/>
    <w:rsid w:val="00186668"/>
    <w:rsid w:val="001A6BE0"/>
    <w:rsid w:val="00206C37"/>
    <w:rsid w:val="00246FE7"/>
    <w:rsid w:val="00267EBC"/>
    <w:rsid w:val="003106AF"/>
    <w:rsid w:val="003352D9"/>
    <w:rsid w:val="00363698"/>
    <w:rsid w:val="00427E4B"/>
    <w:rsid w:val="0045074E"/>
    <w:rsid w:val="00490C26"/>
    <w:rsid w:val="004A2909"/>
    <w:rsid w:val="004C6FDF"/>
    <w:rsid w:val="0050608C"/>
    <w:rsid w:val="0050719E"/>
    <w:rsid w:val="00517C79"/>
    <w:rsid w:val="006162CA"/>
    <w:rsid w:val="006328C1"/>
    <w:rsid w:val="00692420"/>
    <w:rsid w:val="00692FD7"/>
    <w:rsid w:val="00747309"/>
    <w:rsid w:val="00772935"/>
    <w:rsid w:val="0086586F"/>
    <w:rsid w:val="009036A6"/>
    <w:rsid w:val="00961179"/>
    <w:rsid w:val="009C0A37"/>
    <w:rsid w:val="00AC780F"/>
    <w:rsid w:val="00AF43B4"/>
    <w:rsid w:val="00B44E01"/>
    <w:rsid w:val="00B7152B"/>
    <w:rsid w:val="00B72FE6"/>
    <w:rsid w:val="00BD4056"/>
    <w:rsid w:val="00C234FD"/>
    <w:rsid w:val="00DC6C36"/>
    <w:rsid w:val="00E13911"/>
    <w:rsid w:val="00E176DA"/>
    <w:rsid w:val="00ED34AD"/>
    <w:rsid w:val="00F41F7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96D59"/>
  <w15:docId w15:val="{725E3C81-9403-4D6D-9B9C-D95DCD19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F7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2909"/>
    <w:rPr>
      <w:color w:val="0563C1" w:themeColor="hyperlink"/>
      <w:u w:val="single"/>
    </w:rPr>
  </w:style>
  <w:style w:type="character" w:customStyle="1" w:styleId="1">
    <w:name w:val="Ανεπίλυτη αναφορά1"/>
    <w:basedOn w:val="DefaultParagraphFont"/>
    <w:uiPriority w:val="99"/>
    <w:semiHidden/>
    <w:unhideWhenUsed/>
    <w:rsid w:val="004A2909"/>
    <w:rPr>
      <w:color w:val="605E5C"/>
      <w:shd w:val="clear" w:color="auto" w:fill="E1DFDD"/>
    </w:rPr>
  </w:style>
  <w:style w:type="character" w:styleId="FollowedHyperlink">
    <w:name w:val="FollowedHyperlink"/>
    <w:basedOn w:val="DefaultParagraphFont"/>
    <w:uiPriority w:val="99"/>
    <w:semiHidden/>
    <w:unhideWhenUsed/>
    <w:rsid w:val="004A29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63/1.4934714" TargetMode="External"/><Relationship Id="rId3" Type="http://schemas.openxmlformats.org/officeDocument/2006/relationships/settings" Target="settings.xml"/><Relationship Id="rId7" Type="http://schemas.openxmlformats.org/officeDocument/2006/relationships/hyperlink" Target="https://doi.org/10.1088/0029-5515/%2054/5/05400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doi.org/10.1103/PhysRevLett.86.436" TargetMode="External"/><Relationship Id="rId5" Type="http://schemas.openxmlformats.org/officeDocument/2006/relationships/hyperlink" Target="mailto:nschott@ikp.tu-darmstadt.d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0D44E-3D28-432A-AC46-4AEAE052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Nils Schott</cp:lastModifiedBy>
  <cp:revision>4</cp:revision>
  <dcterms:created xsi:type="dcterms:W3CDTF">2024-01-16T13:55:00Z</dcterms:created>
  <dcterms:modified xsi:type="dcterms:W3CDTF">2024-02-28T07:23:00Z</dcterms:modified>
</cp:coreProperties>
</file>